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Pr="006D0ACE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sz w:val="16"/>
          <w:szCs w:val="16"/>
          <w:lang w:eastAsia="cs-CZ"/>
        </w:rPr>
      </w:pPr>
      <w:r w:rsidRPr="006D0ACE">
        <w:rPr>
          <w:rFonts w:asciiTheme="majorHAnsi" w:eastAsia="Times New Roman" w:hAnsiTheme="majorHAnsi" w:cs="Times New Roman"/>
          <w:sz w:val="16"/>
          <w:szCs w:val="16"/>
          <w:lang w:eastAsia="cs-CZ"/>
        </w:rPr>
        <w:t>Příloha č. 2</w:t>
      </w:r>
      <w:r w:rsidR="00A756D0" w:rsidRPr="006D0ACE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 </w:t>
      </w:r>
      <w:r w:rsidR="00F00C4E" w:rsidRPr="006D0ACE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Smlouvy </w:t>
      </w:r>
      <w:bookmarkStart w:id="0" w:name="_GoBack"/>
      <w:bookmarkEnd w:id="0"/>
    </w:p>
    <w:p w:rsidR="006D0ACE" w:rsidRPr="006D0ACE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sz w:val="16"/>
          <w:szCs w:val="16"/>
          <w:lang w:eastAsia="cs-CZ"/>
        </w:rPr>
      </w:pPr>
      <w:r w:rsidRPr="00586B0C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>Cena plnění</w:t>
      </w:r>
      <w:r w:rsidR="006D0ACE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 </w:t>
      </w:r>
      <w:r w:rsidR="006D0ACE" w:rsidRPr="006D0ACE">
        <w:rPr>
          <w:rFonts w:asciiTheme="majorHAnsi" w:eastAsia="Times New Roman" w:hAnsiTheme="majorHAnsi" w:cs="Times New Roman"/>
          <w:b/>
          <w:sz w:val="20"/>
          <w:szCs w:val="20"/>
          <w:lang w:eastAsia="cs-CZ"/>
        </w:rPr>
        <w:t xml:space="preserve">   </w:t>
      </w:r>
    </w:p>
    <w:tbl>
      <w:tblPr>
        <w:tblW w:w="147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7"/>
        <w:gridCol w:w="5426"/>
        <w:gridCol w:w="1417"/>
        <w:gridCol w:w="993"/>
        <w:gridCol w:w="1701"/>
        <w:gridCol w:w="1559"/>
        <w:gridCol w:w="1984"/>
      </w:tblGrid>
      <w:tr w:rsidR="006D0ACE" w:rsidRPr="007B2D8A" w:rsidTr="006D0ACE">
        <w:trPr>
          <w:trHeight w:val="315"/>
        </w:trPr>
        <w:tc>
          <w:tcPr>
            <w:tcW w:w="167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000000" w:fill="014171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SKU</w:t>
            </w:r>
          </w:p>
        </w:tc>
        <w:tc>
          <w:tcPr>
            <w:tcW w:w="5426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1417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Cena/Ks</w:t>
            </w:r>
            <w:r w:rsidRPr="00586B0C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 xml:space="preserve"> v Kč bez DPH</w:t>
            </w:r>
          </w:p>
        </w:tc>
        <w:tc>
          <w:tcPr>
            <w:tcW w:w="993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  <w:vAlign w:val="center"/>
            <w:hideMark/>
          </w:tcPr>
          <w:p w:rsidR="00586B0C" w:rsidRPr="007B2D8A" w:rsidRDefault="00586B0C" w:rsidP="00586B0C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86B0C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Počet kusů</w:t>
            </w:r>
          </w:p>
        </w:tc>
        <w:tc>
          <w:tcPr>
            <w:tcW w:w="170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  <w:vAlign w:val="center"/>
            <w:hideMark/>
          </w:tcPr>
          <w:p w:rsidR="00586B0C" w:rsidRPr="007B2D8A" w:rsidRDefault="00586B0C" w:rsidP="00586B0C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Cena celkem</w:t>
            </w:r>
            <w:r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 xml:space="preserve"> </w:t>
            </w:r>
            <w:r w:rsidR="005D6DAA"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v Kč bez DPH</w:t>
            </w:r>
          </w:p>
        </w:tc>
        <w:tc>
          <w:tcPr>
            <w:tcW w:w="1559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</w:tcPr>
          <w:p w:rsidR="00586B0C" w:rsidRPr="00586B0C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DPH</w:t>
            </w:r>
          </w:p>
        </w:tc>
        <w:tc>
          <w:tcPr>
            <w:tcW w:w="1984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014171"/>
          </w:tcPr>
          <w:p w:rsidR="00586B0C" w:rsidRPr="00586B0C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FFFFFF"/>
                <w:sz w:val="16"/>
                <w:szCs w:val="16"/>
                <w:lang w:eastAsia="cs-CZ"/>
              </w:rPr>
              <w:t>Cena celkem v Kč včetně DPH</w:t>
            </w:r>
          </w:p>
        </w:tc>
      </w:tr>
      <w:tr w:rsidR="006D0ACE" w:rsidRPr="007B2D8A" w:rsidTr="006D0ACE">
        <w:trPr>
          <w:trHeight w:val="600"/>
        </w:trPr>
        <w:tc>
          <w:tcPr>
            <w:tcW w:w="167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C1RK1-00N923-T993-GCUS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AutoCAD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including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specialized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toolsets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Commercial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-user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Switched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2)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Graitec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customer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7B2D8A">
              <w:rPr>
                <w:rFonts w:asciiTheme="majorHAnsi" w:eastAsia="Times New Roman" w:hAnsiTheme="majorHAnsi" w:cs="Calibri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 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118"/>
        </w:trPr>
        <w:tc>
          <w:tcPr>
            <w:tcW w:w="167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426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98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</w:tr>
      <w:tr w:rsidR="006D0ACE" w:rsidRPr="007B2D8A" w:rsidTr="006D0ACE">
        <w:trPr>
          <w:trHeight w:val="585"/>
        </w:trPr>
        <w:tc>
          <w:tcPr>
            <w:tcW w:w="167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C1RK1-00N923-T993-GCUS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AutoCAD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including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specialized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toolsets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Commercial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-user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Switched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2)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Graitec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customer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144"/>
        </w:trPr>
        <w:tc>
          <w:tcPr>
            <w:tcW w:w="167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426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98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</w:tr>
      <w:tr w:rsidR="006D0ACE" w:rsidRPr="007B2D8A" w:rsidTr="006D0ACE">
        <w:trPr>
          <w:trHeight w:val="585"/>
        </w:trPr>
        <w:tc>
          <w:tcPr>
            <w:tcW w:w="167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C1RK1-00N923-T993-GCUS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AutoCAD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including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specialized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toolsets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Commercial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-user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Switched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2)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Graitec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customer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362"/>
        </w:trPr>
        <w:tc>
          <w:tcPr>
            <w:tcW w:w="167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426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98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</w:tr>
      <w:tr w:rsidR="006D0ACE" w:rsidRPr="007B2D8A" w:rsidTr="006D0ACE">
        <w:trPr>
          <w:trHeight w:val="585"/>
        </w:trPr>
        <w:tc>
          <w:tcPr>
            <w:tcW w:w="167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C1RK1-00N279-T134-GCUS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AutoCAD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including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specialized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toolsets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Commercial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-user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Graitec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customer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68"/>
        </w:trPr>
        <w:tc>
          <w:tcPr>
            <w:tcW w:w="167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426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  <w:tc>
          <w:tcPr>
            <w:tcW w:w="1984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86B0C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</w:p>
        </w:tc>
      </w:tr>
      <w:tr w:rsidR="006D0ACE" w:rsidRPr="007B2D8A" w:rsidTr="006D0ACE">
        <w:trPr>
          <w:trHeight w:val="315"/>
        </w:trPr>
        <w:tc>
          <w:tcPr>
            <w:tcW w:w="167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W.CK.P1N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Cadkon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+ Basic Network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315"/>
        </w:trPr>
        <w:tc>
          <w:tcPr>
            <w:tcW w:w="167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W.CK.P2N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Cadkon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+ MEP Network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315"/>
        </w:trPr>
        <w:tc>
          <w:tcPr>
            <w:tcW w:w="167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W.CK.P2N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Cadkon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+ MEP Network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6D0ACE" w:rsidRPr="007B2D8A" w:rsidTr="006D0ACE">
        <w:trPr>
          <w:trHeight w:val="315"/>
        </w:trPr>
        <w:tc>
          <w:tcPr>
            <w:tcW w:w="1677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W.CK.P2N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Cadkon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+ MEP Network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Maintenance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Renewal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6A6A6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5D6DAA" w:rsidRPr="007B2D8A" w:rsidTr="006D0ACE">
        <w:trPr>
          <w:trHeight w:val="643"/>
        </w:trPr>
        <w:tc>
          <w:tcPr>
            <w:tcW w:w="1677" w:type="dxa"/>
            <w:tcBorders>
              <w:top w:val="nil"/>
              <w:left w:val="single" w:sz="8" w:space="0" w:color="A6A6A6"/>
              <w:bottom w:val="single" w:sz="4" w:space="0" w:color="auto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02HI1-WW3839-T813</w:t>
            </w:r>
          </w:p>
        </w:tc>
        <w:tc>
          <w:tcPr>
            <w:tcW w:w="5426" w:type="dxa"/>
            <w:tcBorders>
              <w:top w:val="nil"/>
              <w:left w:val="single" w:sz="8" w:space="0" w:color="A6A6A6"/>
              <w:bottom w:val="single" w:sz="4" w:space="0" w:color="auto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Architecture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Engineering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&amp;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Construction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Collection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IC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Commercial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New Single-user ELD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Annual</w:t>
            </w:r>
            <w:proofErr w:type="spellEnd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B2D8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cs-CZ"/>
              </w:rPr>
              <w:t>Subscription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6A6A6"/>
              <w:bottom w:val="single" w:sz="4" w:space="0" w:color="auto"/>
              <w:right w:val="single" w:sz="8" w:space="0" w:color="A6A6A6"/>
            </w:tcBorders>
            <w:shd w:val="clear" w:color="auto" w:fill="auto"/>
            <w:vAlign w:val="center"/>
          </w:tcPr>
          <w:p w:rsidR="00586B0C" w:rsidRPr="007B2D8A" w:rsidRDefault="005D6DAA" w:rsidP="007B2D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993" w:type="dxa"/>
            <w:tcBorders>
              <w:top w:val="nil"/>
              <w:left w:val="single" w:sz="8" w:space="0" w:color="A6A6A6"/>
              <w:bottom w:val="single" w:sz="4" w:space="0" w:color="auto"/>
              <w:right w:val="single" w:sz="8" w:space="0" w:color="A6A6A6"/>
            </w:tcBorders>
            <w:shd w:val="clear" w:color="auto" w:fill="auto"/>
            <w:vAlign w:val="center"/>
            <w:hideMark/>
          </w:tcPr>
          <w:p w:rsidR="00586B0C" w:rsidRPr="007B2D8A" w:rsidRDefault="00586B0C" w:rsidP="007B2D8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7B2D8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8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B0C" w:rsidRPr="007B2D8A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color w:val="000000"/>
                <w:sz w:val="16"/>
                <w:szCs w:val="16"/>
                <w:highlight w:val="green"/>
                <w:lang w:eastAsia="cs-CZ"/>
              </w:rPr>
              <w:t>*</w:t>
            </w:r>
          </w:p>
        </w:tc>
      </w:tr>
      <w:tr w:rsidR="00586B0C" w:rsidRPr="007B2D8A" w:rsidTr="006D0ACE">
        <w:trPr>
          <w:trHeight w:val="445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C8FF" w:themeFill="accent1" w:themeFillTint="40"/>
            <w:vAlign w:val="center"/>
          </w:tcPr>
          <w:p w:rsidR="00586B0C" w:rsidRPr="00586B0C" w:rsidRDefault="00586B0C" w:rsidP="007B2D8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2"/>
                <w:szCs w:val="22"/>
                <w:lang w:eastAsia="cs-CZ"/>
              </w:rPr>
            </w:pPr>
            <w:r w:rsidRPr="00586B0C">
              <w:rPr>
                <w:rFonts w:eastAsia="Times New Roman" w:cs="Calibri"/>
                <w:b/>
                <w:color w:val="000000"/>
                <w:sz w:val="22"/>
                <w:szCs w:val="22"/>
                <w:lang w:eastAsia="cs-CZ"/>
              </w:rPr>
              <w:t>CENA CELKEM ZA PŘEDMĚT PLNĚNÍ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C8FF" w:themeFill="accent1" w:themeFillTint="40"/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C8FF" w:themeFill="accent1" w:themeFillTint="40"/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C8FF" w:themeFill="accent1" w:themeFillTint="40"/>
            <w:vAlign w:val="center"/>
          </w:tcPr>
          <w:p w:rsidR="00586B0C" w:rsidRPr="006D0ACE" w:rsidRDefault="005D6DAA" w:rsidP="005D6DAA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</w:pPr>
            <w:r w:rsidRPr="006D0ACE">
              <w:rPr>
                <w:rFonts w:eastAsia="Times New Roman" w:cs="Calibri"/>
                <w:b/>
                <w:color w:val="000000"/>
                <w:sz w:val="22"/>
                <w:szCs w:val="22"/>
                <w:highlight w:val="green"/>
                <w:lang w:eastAsia="cs-CZ"/>
              </w:rPr>
              <w:t>*</w:t>
            </w:r>
          </w:p>
        </w:tc>
      </w:tr>
    </w:tbl>
    <w:p w:rsidR="009F392E" w:rsidRPr="00F0533E" w:rsidRDefault="006D0ACE" w:rsidP="006D0ACE">
      <w:pPr>
        <w:keepNext/>
        <w:spacing w:after="0" w:line="240" w:lineRule="auto"/>
        <w:outlineLvl w:val="0"/>
      </w:pPr>
      <w:r w:rsidRPr="006D0ACE">
        <w:rPr>
          <w:rFonts w:asciiTheme="majorHAnsi" w:eastAsia="Times New Roman" w:hAnsiTheme="majorHAnsi" w:cs="Times New Roman"/>
          <w:sz w:val="20"/>
          <w:szCs w:val="20"/>
          <w:lang w:eastAsia="cs-CZ"/>
        </w:rPr>
        <w:t>(</w:t>
      </w:r>
      <w:r w:rsidRPr="006D0ACE">
        <w:rPr>
          <w:rFonts w:asciiTheme="majorHAnsi" w:eastAsia="Times New Roman" w:hAnsiTheme="majorHAnsi" w:cs="Times New Roman"/>
          <w:sz w:val="16"/>
          <w:szCs w:val="16"/>
          <w:highlight w:val="green"/>
          <w:lang w:eastAsia="cs-CZ"/>
        </w:rPr>
        <w:t>*</w:t>
      </w:r>
      <w:r w:rsidRPr="006D0ACE">
        <w:rPr>
          <w:rFonts w:asciiTheme="majorHAnsi" w:eastAsia="Times New Roman" w:hAnsiTheme="majorHAnsi" w:cs="Times New Roman"/>
          <w:sz w:val="16"/>
          <w:szCs w:val="16"/>
          <w:lang w:eastAsia="cs-CZ"/>
        </w:rPr>
        <w:t>) doplní dodavatel</w:t>
      </w:r>
      <w:r>
        <w:rPr>
          <w:rFonts w:asciiTheme="majorHAnsi" w:eastAsia="Times New Roman" w:hAnsiTheme="majorHAnsi" w:cs="Times New Roman"/>
          <w:sz w:val="16"/>
          <w:szCs w:val="16"/>
          <w:lang w:eastAsia="cs-CZ"/>
        </w:rPr>
        <w:t>)</w:t>
      </w:r>
    </w:p>
    <w:sectPr w:rsidR="009F392E" w:rsidRPr="00F0533E" w:rsidSect="005D6DAA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843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5C" w:rsidRDefault="00FE065C" w:rsidP="00962258">
      <w:pPr>
        <w:spacing w:after="0" w:line="240" w:lineRule="auto"/>
      </w:pPr>
      <w:r>
        <w:separator/>
      </w:r>
    </w:p>
  </w:endnote>
  <w:endnote w:type="continuationSeparator" w:id="0">
    <w:p w:rsidR="00FE065C" w:rsidRDefault="00FE06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8CEFE25" wp14:editId="77F8981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EFDBF0" wp14:editId="0AD54C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A11F04" wp14:editId="432FC9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510BD0" wp14:editId="0F3EF0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5C" w:rsidRDefault="00FE065C" w:rsidP="00962258">
      <w:pPr>
        <w:spacing w:after="0" w:line="240" w:lineRule="auto"/>
      </w:pPr>
      <w:r>
        <w:separator/>
      </w:r>
    </w:p>
  </w:footnote>
  <w:footnote w:type="continuationSeparator" w:id="0">
    <w:p w:rsidR="00FE065C" w:rsidRDefault="00FE06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3E65FD7" wp14:editId="27F791C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7590"/>
        </w:tabs>
        <w:ind w:left="759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72C1E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B0C"/>
    <w:rsid w:val="005D6DAA"/>
    <w:rsid w:val="005F1404"/>
    <w:rsid w:val="0061068E"/>
    <w:rsid w:val="00660AD3"/>
    <w:rsid w:val="00677B7F"/>
    <w:rsid w:val="006A5570"/>
    <w:rsid w:val="006A689C"/>
    <w:rsid w:val="006B3D79"/>
    <w:rsid w:val="006D0AC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2D8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6926"/>
    <w:rsid w:val="00DF116D"/>
    <w:rsid w:val="00E36C4A"/>
    <w:rsid w:val="00E853C8"/>
    <w:rsid w:val="00EB104F"/>
    <w:rsid w:val="00ED14BD"/>
    <w:rsid w:val="00EF3BFB"/>
    <w:rsid w:val="00F00C4E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387AE3-2C43-43A5-9B83-C6070FF7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2020-06-08T14:09:00Z</cp:lastPrinted>
  <dcterms:created xsi:type="dcterms:W3CDTF">2020-02-20T08:52:00Z</dcterms:created>
  <dcterms:modified xsi:type="dcterms:W3CDTF">2020-06-09T12:29:00Z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